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8688A" w14:textId="24AE8423" w:rsidR="00830EEF" w:rsidRPr="00830EEF" w:rsidRDefault="00830EEF" w:rsidP="00830EEF">
      <w:pPr>
        <w:widowControl w:val="0"/>
        <w:tabs>
          <w:tab w:val="right" w:pos="7088"/>
          <w:tab w:val="right" w:pos="9781"/>
        </w:tabs>
        <w:spacing w:after="0"/>
        <w:rPr>
          <w:rFonts w:ascii="Arial" w:hAnsi="Arial" w:cs="Arial"/>
          <w:bCs/>
          <w:noProof/>
          <w:sz w:val="22"/>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sidR="00D9092D">
        <w:rPr>
          <w:rFonts w:ascii="Arial" w:hAnsi="Arial" w:cs="Arial"/>
          <w:b/>
          <w:sz w:val="22"/>
          <w:szCs w:val="22"/>
        </w:rPr>
        <w:t>4</w:t>
      </w:r>
      <w:r w:rsidR="003D3904">
        <w:rPr>
          <w:rFonts w:ascii="Arial" w:hAnsi="Arial" w:cs="Arial"/>
          <w:b/>
          <w:sz w:val="22"/>
          <w:szCs w:val="22"/>
        </w:rPr>
        <w:t>bis</w:t>
      </w:r>
      <w:r w:rsidRPr="00830EEF">
        <w:rPr>
          <w:rFonts w:ascii="Arial" w:hAnsi="Arial" w:cs="Arial"/>
          <w:b/>
          <w:bCs/>
          <w:noProof/>
          <w:sz w:val="22"/>
          <w:szCs w:val="22"/>
        </w:rPr>
        <w:tab/>
      </w:r>
      <w:r w:rsidRPr="00830EEF">
        <w:rPr>
          <w:rFonts w:ascii="Arial" w:hAnsi="Arial" w:cs="Arial"/>
          <w:b/>
          <w:bCs/>
          <w:noProof/>
          <w:sz w:val="22"/>
          <w:szCs w:val="22"/>
        </w:rPr>
        <w:tab/>
      </w:r>
      <w:r w:rsidRPr="00830EEF">
        <w:rPr>
          <w:rFonts w:ascii="Arial" w:hAnsi="Arial" w:cs="Arial"/>
          <w:b/>
          <w:sz w:val="22"/>
          <w:szCs w:val="22"/>
        </w:rPr>
        <w:t>R4-2</w:t>
      </w:r>
      <w:r w:rsidR="005F48C0">
        <w:rPr>
          <w:rFonts w:ascii="Arial" w:hAnsi="Arial" w:cs="Arial"/>
          <w:b/>
          <w:sz w:val="22"/>
          <w:szCs w:val="22"/>
        </w:rPr>
        <w:t>50</w:t>
      </w:r>
      <w:r w:rsidR="00CE117A">
        <w:rPr>
          <w:rFonts w:ascii="Arial" w:hAnsi="Arial" w:cs="Arial"/>
          <w:b/>
          <w:sz w:val="22"/>
          <w:szCs w:val="22"/>
        </w:rPr>
        <w:t>3478</w:t>
      </w:r>
    </w:p>
    <w:p w14:paraId="0A9F36F3" w14:textId="743F0996" w:rsidR="00830EEF" w:rsidRPr="00830EEF" w:rsidRDefault="003D3904" w:rsidP="00830EEF">
      <w:pPr>
        <w:widowControl w:val="0"/>
        <w:spacing w:after="0"/>
        <w:rPr>
          <w:rFonts w:ascii="Arial" w:hAnsi="Arial"/>
          <w:b/>
          <w:noProof/>
          <w:sz w:val="22"/>
          <w:szCs w:val="22"/>
        </w:rPr>
      </w:pPr>
      <w:r>
        <w:rPr>
          <w:rFonts w:ascii="Arial" w:hAnsi="Arial"/>
          <w:b/>
          <w:noProof/>
          <w:sz w:val="22"/>
          <w:szCs w:val="22"/>
        </w:rPr>
        <w:t>Wuhan</w:t>
      </w:r>
      <w:r w:rsidR="00830EEF" w:rsidRPr="00830EEF">
        <w:rPr>
          <w:rFonts w:ascii="Arial" w:hAnsi="Arial"/>
          <w:b/>
          <w:noProof/>
          <w:sz w:val="22"/>
          <w:szCs w:val="22"/>
        </w:rPr>
        <w:t>,</w:t>
      </w:r>
      <w:r>
        <w:rPr>
          <w:rFonts w:ascii="Arial" w:hAnsi="Arial"/>
          <w:b/>
          <w:noProof/>
          <w:sz w:val="22"/>
          <w:szCs w:val="22"/>
        </w:rPr>
        <w:t xml:space="preserve"> Hubei,</w:t>
      </w:r>
      <w:r w:rsidR="00830EEF" w:rsidRPr="00830EEF">
        <w:rPr>
          <w:rFonts w:ascii="Arial" w:hAnsi="Arial"/>
          <w:b/>
          <w:noProof/>
          <w:sz w:val="22"/>
          <w:szCs w:val="22"/>
        </w:rPr>
        <w:t xml:space="preserve"> </w:t>
      </w:r>
      <w:r>
        <w:rPr>
          <w:rFonts w:ascii="Arial" w:hAnsi="Arial"/>
          <w:b/>
          <w:noProof/>
          <w:sz w:val="22"/>
          <w:szCs w:val="22"/>
        </w:rPr>
        <w:t>China</w:t>
      </w:r>
      <w:r w:rsidR="00830EEF" w:rsidRPr="00830EEF">
        <w:rPr>
          <w:rFonts w:ascii="Arial" w:hAnsi="Arial"/>
          <w:b/>
          <w:noProof/>
          <w:sz w:val="22"/>
          <w:szCs w:val="22"/>
        </w:rPr>
        <w:t xml:space="preserve">, </w:t>
      </w:r>
      <w:r>
        <w:rPr>
          <w:rFonts w:ascii="Arial" w:hAnsi="Arial"/>
          <w:b/>
          <w:noProof/>
          <w:sz w:val="22"/>
          <w:szCs w:val="22"/>
        </w:rPr>
        <w:t>April</w:t>
      </w:r>
      <w:r w:rsidR="00830EEF" w:rsidRPr="00830EEF">
        <w:rPr>
          <w:rFonts w:ascii="Arial" w:hAnsi="Arial"/>
          <w:b/>
          <w:noProof/>
          <w:sz w:val="22"/>
          <w:szCs w:val="22"/>
        </w:rPr>
        <w:t xml:space="preserve"> </w:t>
      </w:r>
      <w:r>
        <w:rPr>
          <w:rFonts w:ascii="Arial" w:hAnsi="Arial"/>
          <w:b/>
          <w:noProof/>
          <w:sz w:val="22"/>
          <w:szCs w:val="22"/>
        </w:rPr>
        <w:t>0</w:t>
      </w:r>
      <w:r w:rsidR="00D9092D">
        <w:rPr>
          <w:rFonts w:ascii="Arial" w:hAnsi="Arial"/>
          <w:b/>
          <w:noProof/>
          <w:sz w:val="22"/>
          <w:szCs w:val="22"/>
        </w:rPr>
        <w:t>7</w:t>
      </w:r>
      <w:r w:rsidR="00830EEF" w:rsidRPr="00830EEF">
        <w:rPr>
          <w:rFonts w:ascii="Arial" w:hAnsi="Arial"/>
          <w:b/>
          <w:noProof/>
          <w:sz w:val="22"/>
          <w:szCs w:val="22"/>
          <w:vertAlign w:val="superscript"/>
        </w:rPr>
        <w:t>th</w:t>
      </w:r>
      <w:r w:rsidR="00830EEF" w:rsidRPr="00830EEF">
        <w:rPr>
          <w:rFonts w:ascii="Arial" w:hAnsi="Arial"/>
          <w:b/>
          <w:noProof/>
          <w:sz w:val="22"/>
          <w:szCs w:val="22"/>
        </w:rPr>
        <w:t xml:space="preserve"> – </w:t>
      </w:r>
      <w:r>
        <w:rPr>
          <w:rFonts w:ascii="Arial" w:hAnsi="Arial"/>
          <w:b/>
          <w:noProof/>
          <w:sz w:val="22"/>
          <w:szCs w:val="22"/>
        </w:rPr>
        <w:t>11</w:t>
      </w:r>
      <w:r w:rsidR="00D9092D">
        <w:rPr>
          <w:rFonts w:ascii="Arial" w:hAnsi="Arial"/>
          <w:b/>
          <w:noProof/>
          <w:sz w:val="22"/>
          <w:szCs w:val="22"/>
          <w:vertAlign w:val="superscript"/>
        </w:rPr>
        <w:t>t</w:t>
      </w:r>
      <w:r>
        <w:rPr>
          <w:rFonts w:ascii="Arial" w:hAnsi="Arial"/>
          <w:b/>
          <w:noProof/>
          <w:sz w:val="22"/>
          <w:szCs w:val="22"/>
          <w:vertAlign w:val="superscript"/>
        </w:rPr>
        <w:t>h</w:t>
      </w:r>
      <w:r w:rsidR="00830EEF" w:rsidRPr="00830EEF">
        <w:rPr>
          <w:rFonts w:ascii="Arial" w:hAnsi="Arial"/>
          <w:b/>
          <w:noProof/>
          <w:sz w:val="22"/>
          <w:szCs w:val="22"/>
        </w:rPr>
        <w:t xml:space="preserve"> , 202</w:t>
      </w:r>
      <w:r w:rsidR="00D9092D">
        <w:rPr>
          <w:rFonts w:ascii="Arial" w:hAnsi="Arial"/>
          <w:b/>
          <w:noProof/>
          <w:sz w:val="22"/>
          <w:szCs w:val="22"/>
        </w:rPr>
        <w:t>5</w:t>
      </w:r>
    </w:p>
    <w:p w14:paraId="0ED16545" w14:textId="7D3C6555" w:rsidR="0068254F" w:rsidRPr="00830EEF" w:rsidRDefault="0068254F" w:rsidP="0068254F">
      <w:pPr>
        <w:tabs>
          <w:tab w:val="right" w:pos="10440"/>
          <w:tab w:val="right" w:pos="13323"/>
        </w:tabs>
        <w:spacing w:afterLines="100" w:after="240"/>
        <w:rPr>
          <w:rFonts w:ascii="Arial" w:hAnsi="Arial" w:cs="Arial"/>
          <w:b/>
          <w:sz w:val="24"/>
          <w:szCs w:val="24"/>
          <w:lang w:eastAsia="zh-CN"/>
        </w:rPr>
      </w:pPr>
    </w:p>
    <w:p w14:paraId="1226C057" w14:textId="553E60C0"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170FEE" w:rsidRPr="00170FEE">
        <w:rPr>
          <w:rFonts w:ascii="Arial" w:hAnsi="Arial" w:cs="Arial"/>
          <w:b/>
          <w:sz w:val="22"/>
        </w:rPr>
        <w:t>On UE RF requirements and UE capability for low band CA via switching</w:t>
      </w:r>
    </w:p>
    <w:p w14:paraId="73AD8CE3" w14:textId="22E68356"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170FEE">
        <w:rPr>
          <w:rFonts w:ascii="Arial" w:hAnsi="Arial" w:cs="Arial"/>
          <w:b/>
          <w:sz w:val="22"/>
        </w:rPr>
        <w:t>7</w:t>
      </w:r>
      <w:r w:rsidR="00280D59" w:rsidRPr="00AA4927">
        <w:rPr>
          <w:rFonts w:ascii="Arial" w:hAnsi="Arial" w:cs="Arial"/>
          <w:b/>
          <w:bCs/>
          <w:sz w:val="22"/>
          <w:lang w:eastAsia="zh-CN"/>
        </w:rPr>
        <w:t>.</w:t>
      </w:r>
      <w:r w:rsidR="00170FEE">
        <w:rPr>
          <w:rFonts w:ascii="Arial" w:hAnsi="Arial" w:cs="Arial"/>
          <w:b/>
          <w:bCs/>
          <w:sz w:val="22"/>
          <w:lang w:eastAsia="zh-CN"/>
        </w:rPr>
        <w:t>7</w:t>
      </w:r>
      <w:r w:rsidR="00CD6A21">
        <w:rPr>
          <w:rFonts w:ascii="Arial" w:hAnsi="Arial" w:cs="Arial"/>
          <w:b/>
          <w:bCs/>
          <w:sz w:val="22"/>
          <w:lang w:eastAsia="zh-CN"/>
        </w:rPr>
        <w:t>.</w:t>
      </w:r>
      <w:r w:rsidR="00170FEE">
        <w:rPr>
          <w:rFonts w:ascii="Arial" w:hAnsi="Arial" w:cs="Arial"/>
          <w:b/>
          <w:bCs/>
          <w:sz w:val="22"/>
          <w:lang w:eastAsia="zh-CN"/>
        </w:rPr>
        <w:t>2</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7F9FD605"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1644F9" w:rsidRPr="00AA4927">
        <w:rPr>
          <w:rFonts w:ascii="Arial" w:hAnsi="Arial" w:cs="Arial"/>
          <w:b/>
          <w:bCs/>
          <w:sz w:val="22"/>
          <w:lang w:eastAsia="zh-CN"/>
        </w:rPr>
        <w:t>Discussion</w:t>
      </w:r>
    </w:p>
    <w:p w14:paraId="6E810FAA" w14:textId="4CCB2F9A" w:rsidR="00EF3FF4" w:rsidRPr="00AB3D40" w:rsidRDefault="009267C2" w:rsidP="003E08FC">
      <w:pPr>
        <w:pStyle w:val="Heading1"/>
        <w:rPr>
          <w:lang w:eastAsia="zh-CN"/>
        </w:rPr>
      </w:pPr>
      <w:r>
        <w:t>1 Introduction</w:t>
      </w:r>
    </w:p>
    <w:p w14:paraId="6A8BCEB8" w14:textId="771FF800" w:rsidR="005B47FD" w:rsidRDefault="00DA5DE1" w:rsidP="009267C2">
      <w:pPr>
        <w:pStyle w:val="B1"/>
        <w:ind w:left="0" w:firstLine="0"/>
        <w:rPr>
          <w:sz w:val="24"/>
          <w:szCs w:val="24"/>
          <w:lang w:eastAsia="zh-CN"/>
        </w:rPr>
      </w:pPr>
      <w:r>
        <w:rPr>
          <w:sz w:val="24"/>
          <w:szCs w:val="24"/>
          <w:lang w:eastAsia="zh-CN"/>
        </w:rPr>
        <w:t>In RAN4#114 which is the first working group meeting after the approval of the WID on low band CA via switching, RAN4 commenced the discussion and made some progress with a WF agreed [1]. And there are several issues which are still open as seen below:</w:t>
      </w:r>
    </w:p>
    <w:tbl>
      <w:tblPr>
        <w:tblStyle w:val="TableGrid"/>
        <w:tblW w:w="0" w:type="auto"/>
        <w:tblLook w:val="04A0" w:firstRow="1" w:lastRow="0" w:firstColumn="1" w:lastColumn="0" w:noHBand="0" w:noVBand="1"/>
      </w:tblPr>
      <w:tblGrid>
        <w:gridCol w:w="10457"/>
      </w:tblGrid>
      <w:tr w:rsidR="005E02DC" w:rsidRPr="005E02DC" w14:paraId="123894F2" w14:textId="77777777" w:rsidTr="005E02DC">
        <w:tc>
          <w:tcPr>
            <w:tcW w:w="10457" w:type="dxa"/>
          </w:tcPr>
          <w:p w14:paraId="47073072" w14:textId="79DA6133" w:rsidR="005E02DC" w:rsidRPr="005E02DC" w:rsidRDefault="005E02DC" w:rsidP="009267C2">
            <w:pPr>
              <w:pStyle w:val="B1"/>
              <w:ind w:left="0" w:firstLine="0"/>
              <w:rPr>
                <w:b/>
                <w:bCs/>
                <w:i/>
                <w:iCs/>
              </w:rPr>
            </w:pPr>
            <w:r w:rsidRPr="005E02DC">
              <w:rPr>
                <w:b/>
                <w:bCs/>
                <w:i/>
                <w:iCs/>
              </w:rPr>
              <w:t>Issue 2: Switching period values</w:t>
            </w:r>
          </w:p>
          <w:p w14:paraId="3D0185A9" w14:textId="14EE9B0E" w:rsidR="005E02DC" w:rsidRPr="005E02DC" w:rsidRDefault="005E02DC" w:rsidP="005E02DC">
            <w:pPr>
              <w:pStyle w:val="B1"/>
              <w:rPr>
                <w:i/>
                <w:iCs/>
              </w:rPr>
            </w:pPr>
            <w:r w:rsidRPr="005E02DC">
              <w:rPr>
                <w:i/>
                <w:iCs/>
              </w:rPr>
              <w:t>- Define switching periods between FDD low band and SDL low band with the following values as a UE capability to accommodate different UE implementations</w:t>
            </w:r>
          </w:p>
          <w:p w14:paraId="7E717876" w14:textId="77777777" w:rsidR="005E02DC" w:rsidRPr="005E02DC" w:rsidRDefault="005E02DC" w:rsidP="005E02DC">
            <w:pPr>
              <w:pStyle w:val="B2"/>
              <w:rPr>
                <w:i/>
                <w:iCs/>
              </w:rPr>
            </w:pPr>
            <w:r w:rsidRPr="005E02DC">
              <w:rPr>
                <w:i/>
                <w:iCs/>
              </w:rPr>
              <w:t>-</w:t>
            </w:r>
            <w:r w:rsidRPr="005E02DC">
              <w:rPr>
                <w:i/>
                <w:iCs/>
              </w:rPr>
              <w:tab/>
              <w:t>35us, 140us</w:t>
            </w:r>
          </w:p>
          <w:p w14:paraId="62273F6D" w14:textId="77777777" w:rsidR="005E02DC" w:rsidRPr="005E02DC" w:rsidRDefault="005E02DC" w:rsidP="005E02DC">
            <w:pPr>
              <w:pStyle w:val="B2"/>
              <w:rPr>
                <w:i/>
                <w:iCs/>
              </w:rPr>
            </w:pPr>
            <w:r w:rsidRPr="005E02DC">
              <w:rPr>
                <w:i/>
                <w:iCs/>
              </w:rPr>
              <w:t>-</w:t>
            </w:r>
            <w:r w:rsidRPr="005E02DC">
              <w:rPr>
                <w:i/>
                <w:iCs/>
              </w:rPr>
              <w:tab/>
              <w:t xml:space="preserve">RAN4 to further discuss 13us </w:t>
            </w:r>
          </w:p>
          <w:p w14:paraId="16B91C7B" w14:textId="77777777" w:rsidR="005E02DC" w:rsidRPr="005E02DC" w:rsidRDefault="005E02DC" w:rsidP="005E02DC">
            <w:pPr>
              <w:pStyle w:val="B3"/>
              <w:rPr>
                <w:i/>
                <w:iCs/>
              </w:rPr>
            </w:pPr>
            <w:r w:rsidRPr="005E02DC">
              <w:rPr>
                <w:i/>
                <w:iCs/>
              </w:rPr>
              <w:t>-</w:t>
            </w:r>
            <w:r w:rsidRPr="005E02DC">
              <w:rPr>
                <w:i/>
                <w:iCs/>
              </w:rPr>
              <w:tab/>
              <w:t>LS will capture the currently confirmed values</w:t>
            </w:r>
          </w:p>
          <w:p w14:paraId="56865307" w14:textId="77777777" w:rsidR="005E02DC" w:rsidRPr="005E02DC" w:rsidRDefault="005E02DC" w:rsidP="005E02DC">
            <w:pPr>
              <w:pStyle w:val="B3"/>
              <w:rPr>
                <w:i/>
                <w:iCs/>
              </w:rPr>
            </w:pPr>
            <w:r w:rsidRPr="005E02DC">
              <w:rPr>
                <w:i/>
                <w:iCs/>
              </w:rPr>
              <w:t>-</w:t>
            </w:r>
            <w:r w:rsidRPr="005E02DC">
              <w:rPr>
                <w:i/>
                <w:iCs/>
              </w:rPr>
              <w:tab/>
              <w:t>It is not precluded to send another LS with more values in future meetings</w:t>
            </w:r>
          </w:p>
          <w:p w14:paraId="14E7A29F" w14:textId="77777777" w:rsidR="005E02DC" w:rsidRPr="005E02DC" w:rsidRDefault="005E02DC" w:rsidP="005E02DC">
            <w:pPr>
              <w:rPr>
                <w:b/>
                <w:bCs/>
                <w:i/>
                <w:iCs/>
              </w:rPr>
            </w:pPr>
            <w:r w:rsidRPr="005E02DC">
              <w:rPr>
                <w:b/>
                <w:bCs/>
                <w:i/>
                <w:iCs/>
              </w:rPr>
              <w:t>Issue 3: Switching period capability</w:t>
            </w:r>
          </w:p>
          <w:p w14:paraId="196ECD5C" w14:textId="155669EF" w:rsidR="005E02DC" w:rsidRPr="005E02DC" w:rsidRDefault="005E02DC" w:rsidP="005E02DC">
            <w:pPr>
              <w:pStyle w:val="B1"/>
              <w:ind w:left="420" w:firstLine="0"/>
              <w:rPr>
                <w:i/>
                <w:iCs/>
                <w:lang w:val="en-US" w:eastAsia="zh-CN"/>
              </w:rPr>
            </w:pPr>
            <w:r w:rsidRPr="005E02DC">
              <w:rPr>
                <w:i/>
                <w:iCs/>
                <w:lang w:val="en-US" w:eastAsia="zh-CN"/>
              </w:rPr>
              <w:t>-</w:t>
            </w:r>
            <w:r w:rsidRPr="005E02DC">
              <w:rPr>
                <w:i/>
                <w:iCs/>
                <w:lang w:val="en-US" w:eastAsia="zh-CN"/>
              </w:rPr>
              <w:tab/>
              <w:t>Discuss whether the switching delay capability can be per band combination</w:t>
            </w:r>
          </w:p>
          <w:p w14:paraId="7DF67D98" w14:textId="77777777" w:rsidR="005E02DC" w:rsidRPr="005E02DC" w:rsidRDefault="005E02DC" w:rsidP="005E02DC">
            <w:pPr>
              <w:rPr>
                <w:b/>
                <w:bCs/>
                <w:i/>
                <w:iCs/>
              </w:rPr>
            </w:pPr>
            <w:r w:rsidRPr="005E02DC">
              <w:rPr>
                <w:b/>
                <w:bCs/>
                <w:i/>
                <w:iCs/>
              </w:rPr>
              <w:t>Issue 4: Time mask for switching</w:t>
            </w:r>
          </w:p>
          <w:p w14:paraId="743D355D" w14:textId="77777777" w:rsidR="005E02DC" w:rsidRPr="005E02DC" w:rsidRDefault="005E02DC" w:rsidP="005E02DC">
            <w:pPr>
              <w:pStyle w:val="B1"/>
              <w:rPr>
                <w:i/>
                <w:iCs/>
                <w:lang w:val="en-US" w:eastAsia="zh-CN"/>
              </w:rPr>
            </w:pPr>
            <w:r w:rsidRPr="005E02DC">
              <w:rPr>
                <w:i/>
                <w:iCs/>
                <w:lang w:val="en-US" w:eastAsia="zh-CN"/>
              </w:rPr>
              <w:t>-</w:t>
            </w:r>
            <w:r w:rsidRPr="005E02DC">
              <w:rPr>
                <w:i/>
                <w:iCs/>
                <w:lang w:val="en-US" w:eastAsia="zh-CN"/>
              </w:rPr>
              <w:tab/>
              <w:t>Discuss the time mask for switching based on the following options:</w:t>
            </w:r>
          </w:p>
          <w:p w14:paraId="6B352871" w14:textId="77777777" w:rsidR="005E02DC" w:rsidRPr="005E02DC" w:rsidRDefault="005E02DC" w:rsidP="005E02DC">
            <w:pPr>
              <w:pStyle w:val="B2"/>
              <w:rPr>
                <w:i/>
                <w:iCs/>
                <w:lang w:val="en-US" w:eastAsia="zh-CN"/>
              </w:rPr>
            </w:pPr>
            <w:r w:rsidRPr="005E02DC">
              <w:rPr>
                <w:i/>
                <w:iCs/>
                <w:lang w:val="en-US" w:eastAsia="zh-CN"/>
              </w:rPr>
              <w:t>-</w:t>
            </w:r>
            <w:r w:rsidRPr="005E02DC">
              <w:rPr>
                <w:i/>
                <w:iCs/>
                <w:lang w:val="en-US" w:eastAsia="zh-CN"/>
              </w:rPr>
              <w:tab/>
              <w:t>Option 1: Switching period can be either within carrier 1 (FDD) or within carrier 2 (SDL)</w:t>
            </w:r>
          </w:p>
          <w:p w14:paraId="715D7A66" w14:textId="77777777" w:rsidR="005E02DC" w:rsidRPr="005E02DC" w:rsidRDefault="005E02DC" w:rsidP="005E02DC">
            <w:pPr>
              <w:pStyle w:val="B2"/>
              <w:rPr>
                <w:i/>
                <w:iCs/>
                <w:lang w:val="en-US" w:eastAsia="zh-CN"/>
              </w:rPr>
            </w:pPr>
            <w:r w:rsidRPr="005E02DC">
              <w:rPr>
                <w:i/>
                <w:iCs/>
                <w:lang w:val="en-US" w:eastAsia="zh-CN"/>
              </w:rPr>
              <w:t>-</w:t>
            </w:r>
            <w:r w:rsidRPr="005E02DC">
              <w:rPr>
                <w:i/>
                <w:iCs/>
                <w:lang w:val="en-US" w:eastAsia="zh-CN"/>
              </w:rPr>
              <w:tab/>
              <w:t>Option 2: Switching period is always within the switch-from carrier</w:t>
            </w:r>
          </w:p>
          <w:p w14:paraId="2A2D84EE" w14:textId="77777777" w:rsidR="005E02DC" w:rsidRPr="005E02DC" w:rsidRDefault="005E02DC" w:rsidP="005E02DC">
            <w:pPr>
              <w:pStyle w:val="B2"/>
              <w:rPr>
                <w:i/>
                <w:iCs/>
                <w:lang w:val="en-US" w:eastAsia="zh-CN"/>
              </w:rPr>
            </w:pPr>
            <w:r w:rsidRPr="005E02DC">
              <w:rPr>
                <w:i/>
                <w:iCs/>
                <w:lang w:val="en-US" w:eastAsia="zh-CN"/>
              </w:rPr>
              <w:t>-</w:t>
            </w:r>
            <w:r w:rsidRPr="005E02DC">
              <w:rPr>
                <w:i/>
                <w:iCs/>
                <w:lang w:val="en-US" w:eastAsia="zh-CN"/>
              </w:rPr>
              <w:tab/>
              <w:t>Option 3: Switching period is contained within the switching gap configured by the network</w:t>
            </w:r>
          </w:p>
          <w:p w14:paraId="74FFBE68" w14:textId="3AA87B74" w:rsidR="005E02DC" w:rsidRPr="005E02DC" w:rsidRDefault="005E02DC" w:rsidP="005E02DC">
            <w:pPr>
              <w:pStyle w:val="B2"/>
              <w:rPr>
                <w:i/>
                <w:iCs/>
                <w:lang w:val="en-US" w:eastAsia="zh-CN"/>
              </w:rPr>
            </w:pPr>
            <w:r w:rsidRPr="005E02DC">
              <w:rPr>
                <w:i/>
                <w:iCs/>
                <w:lang w:val="en-US" w:eastAsia="zh-CN"/>
              </w:rPr>
              <w:t>-</w:t>
            </w:r>
            <w:r w:rsidRPr="005E02DC">
              <w:rPr>
                <w:i/>
                <w:iCs/>
                <w:lang w:val="en-US" w:eastAsia="zh-CN"/>
              </w:rPr>
              <w:tab/>
              <w:t>Other options are not precluded</w:t>
            </w:r>
          </w:p>
        </w:tc>
      </w:tr>
    </w:tbl>
    <w:p w14:paraId="2B742E26" w14:textId="77777777" w:rsidR="005E02DC" w:rsidRDefault="005E02DC" w:rsidP="009267C2">
      <w:pPr>
        <w:pStyle w:val="B1"/>
        <w:ind w:left="0" w:firstLine="0"/>
        <w:rPr>
          <w:sz w:val="24"/>
          <w:szCs w:val="24"/>
          <w:lang w:eastAsia="zh-CN"/>
        </w:rPr>
      </w:pPr>
    </w:p>
    <w:p w14:paraId="63A7572B" w14:textId="7B355F75" w:rsidR="005E02DC" w:rsidRPr="00627FD1" w:rsidRDefault="00DA5DE1" w:rsidP="009267C2">
      <w:pPr>
        <w:pStyle w:val="B1"/>
        <w:ind w:left="0" w:firstLine="0"/>
        <w:rPr>
          <w:sz w:val="24"/>
          <w:szCs w:val="24"/>
          <w:lang w:eastAsia="zh-CN"/>
        </w:rPr>
      </w:pPr>
      <w:r>
        <w:rPr>
          <w:sz w:val="24"/>
          <w:szCs w:val="24"/>
          <w:lang w:eastAsia="zh-CN"/>
        </w:rPr>
        <w:t>In this contribution, we present our views on these identified issues.</w:t>
      </w:r>
    </w:p>
    <w:p w14:paraId="383D39F2" w14:textId="78EDFAB8" w:rsidR="009267C2" w:rsidRPr="00AB3D40" w:rsidRDefault="00D80973" w:rsidP="009267C2">
      <w:pPr>
        <w:pStyle w:val="Heading1"/>
        <w:rPr>
          <w:lang w:eastAsia="zh-CN"/>
        </w:rPr>
      </w:pPr>
      <w:r>
        <w:t>2</w:t>
      </w:r>
      <w:r w:rsidR="009267C2">
        <w:t xml:space="preserve"> </w:t>
      </w:r>
      <w:r w:rsidR="001B434D">
        <w:t>Discussion</w:t>
      </w:r>
    </w:p>
    <w:p w14:paraId="0D4D142A" w14:textId="4F1DCC5C" w:rsidR="00D80973" w:rsidRPr="007D35CD" w:rsidRDefault="007D35CD" w:rsidP="009267C2">
      <w:pPr>
        <w:pStyle w:val="B1"/>
        <w:ind w:left="0" w:firstLine="0"/>
        <w:rPr>
          <w:b/>
          <w:bCs/>
          <w:sz w:val="24"/>
          <w:szCs w:val="24"/>
          <w:u w:val="single"/>
          <w:lang w:eastAsia="zh-CN"/>
        </w:rPr>
      </w:pPr>
      <w:r w:rsidRPr="007D35CD">
        <w:rPr>
          <w:b/>
          <w:bCs/>
          <w:sz w:val="24"/>
          <w:szCs w:val="24"/>
          <w:u w:val="single"/>
          <w:lang w:eastAsia="zh-CN"/>
        </w:rPr>
        <w:t>Switching period values</w:t>
      </w:r>
    </w:p>
    <w:p w14:paraId="3B0572DB" w14:textId="324C44FA" w:rsidR="007D35CD" w:rsidRDefault="00495D7C" w:rsidP="009267C2">
      <w:pPr>
        <w:pStyle w:val="B1"/>
        <w:ind w:left="0" w:firstLine="0"/>
        <w:rPr>
          <w:sz w:val="24"/>
          <w:szCs w:val="24"/>
          <w:lang w:eastAsia="zh-CN"/>
        </w:rPr>
      </w:pPr>
      <w:r>
        <w:rPr>
          <w:sz w:val="24"/>
          <w:szCs w:val="24"/>
          <w:lang w:eastAsia="zh-CN"/>
        </w:rPr>
        <w:t>In last meeting, in addition to the agreed values of 35</w:t>
      </w:r>
      <w:r w:rsidR="0014455D">
        <w:rPr>
          <w:sz w:val="24"/>
          <w:szCs w:val="24"/>
          <w:lang w:eastAsia="zh-CN"/>
        </w:rPr>
        <w:t>μ</w:t>
      </w:r>
      <w:r>
        <w:rPr>
          <w:sz w:val="24"/>
          <w:szCs w:val="24"/>
          <w:lang w:eastAsia="zh-CN"/>
        </w:rPr>
        <w:t>s and 140</w:t>
      </w:r>
      <w:r w:rsidR="0014455D">
        <w:rPr>
          <w:sz w:val="24"/>
          <w:szCs w:val="24"/>
          <w:lang w:eastAsia="zh-CN"/>
        </w:rPr>
        <w:t>μ</w:t>
      </w:r>
      <w:r>
        <w:rPr>
          <w:sz w:val="24"/>
          <w:szCs w:val="24"/>
          <w:lang w:eastAsia="zh-CN"/>
        </w:rPr>
        <w:t xml:space="preserve">s for switching period, other values such as 13us are also proposed [2]. In our understanding, low band CA via switching may benefit from a smaller switching period from different aspects: 1) </w:t>
      </w:r>
      <w:r w:rsidR="000F0A4A">
        <w:rPr>
          <w:sz w:val="24"/>
          <w:szCs w:val="24"/>
          <w:lang w:eastAsia="zh-CN"/>
        </w:rPr>
        <w:t>Fast react to radio conditions thus able to improve overall achievable system performance; 2) More flexible and less stringent on semi-static switching pattern design. Therefore, 13us switching period could be considered.</w:t>
      </w:r>
    </w:p>
    <w:p w14:paraId="742A0278" w14:textId="1E95C4F6" w:rsidR="000F0A4A" w:rsidRPr="000F0A4A" w:rsidRDefault="000F0A4A" w:rsidP="009267C2">
      <w:pPr>
        <w:pStyle w:val="B1"/>
        <w:ind w:left="0" w:firstLine="0"/>
        <w:rPr>
          <w:b/>
          <w:bCs/>
          <w:sz w:val="24"/>
          <w:szCs w:val="24"/>
          <w:lang w:eastAsia="zh-CN"/>
        </w:rPr>
      </w:pPr>
      <w:r w:rsidRPr="000F0A4A">
        <w:rPr>
          <w:b/>
          <w:bCs/>
          <w:sz w:val="24"/>
          <w:szCs w:val="24"/>
          <w:lang w:eastAsia="zh-CN"/>
        </w:rPr>
        <w:t>Proposal 1: RAN4 to consider an additional switching period value of 13μs.</w:t>
      </w:r>
    </w:p>
    <w:p w14:paraId="2BD8E19D" w14:textId="77777777" w:rsidR="000F0A4A" w:rsidRDefault="000F0A4A" w:rsidP="009267C2">
      <w:pPr>
        <w:pStyle w:val="B1"/>
        <w:ind w:left="0" w:firstLine="0"/>
        <w:rPr>
          <w:sz w:val="24"/>
          <w:szCs w:val="24"/>
          <w:lang w:eastAsia="zh-CN"/>
        </w:rPr>
      </w:pPr>
    </w:p>
    <w:p w14:paraId="2BE4C2F8" w14:textId="2376C334" w:rsidR="007D35CD" w:rsidRPr="007D35CD" w:rsidRDefault="007D35CD" w:rsidP="009267C2">
      <w:pPr>
        <w:pStyle w:val="B1"/>
        <w:ind w:left="0" w:firstLine="0"/>
        <w:rPr>
          <w:b/>
          <w:bCs/>
          <w:sz w:val="24"/>
          <w:szCs w:val="24"/>
          <w:u w:val="single"/>
          <w:lang w:eastAsia="zh-CN"/>
        </w:rPr>
      </w:pPr>
      <w:r w:rsidRPr="007D35CD">
        <w:rPr>
          <w:b/>
          <w:bCs/>
          <w:sz w:val="24"/>
          <w:szCs w:val="24"/>
          <w:u w:val="single"/>
          <w:lang w:eastAsia="zh-CN"/>
        </w:rPr>
        <w:t>Switching period capability</w:t>
      </w:r>
    </w:p>
    <w:p w14:paraId="5FB93054" w14:textId="37AAFF87" w:rsidR="007D35CD" w:rsidRDefault="007E17B3" w:rsidP="009267C2">
      <w:pPr>
        <w:pStyle w:val="B1"/>
        <w:ind w:left="0" w:firstLine="0"/>
        <w:rPr>
          <w:sz w:val="24"/>
          <w:szCs w:val="24"/>
          <w:lang w:eastAsia="zh-CN"/>
        </w:rPr>
      </w:pPr>
      <w:r>
        <w:rPr>
          <w:sz w:val="24"/>
          <w:szCs w:val="24"/>
          <w:lang w:eastAsia="zh-CN"/>
        </w:rPr>
        <w:lastRenderedPageBreak/>
        <w:t>Usually in UE implementation, low bands are treated in one group. And this feature is about switching in a band combination only consisting of low bands, therefore, the granularity of the switching is unnecessary on a band combination basis, i.e., can be per-UE basis.</w:t>
      </w:r>
    </w:p>
    <w:p w14:paraId="1317D1A1" w14:textId="21C61CD0" w:rsidR="007E17B3" w:rsidRPr="007E17B3" w:rsidRDefault="007E17B3" w:rsidP="009267C2">
      <w:pPr>
        <w:pStyle w:val="B1"/>
        <w:ind w:left="0" w:firstLine="0"/>
        <w:rPr>
          <w:b/>
          <w:bCs/>
          <w:sz w:val="24"/>
          <w:szCs w:val="24"/>
          <w:lang w:eastAsia="zh-CN"/>
        </w:rPr>
      </w:pPr>
      <w:r w:rsidRPr="007E17B3">
        <w:rPr>
          <w:b/>
          <w:bCs/>
          <w:sz w:val="24"/>
          <w:szCs w:val="24"/>
          <w:lang w:eastAsia="zh-CN"/>
        </w:rPr>
        <w:t>Proposal 2: Switching period capability for low band CA via switching is per-UE basis.</w:t>
      </w:r>
    </w:p>
    <w:p w14:paraId="2C6C60F9" w14:textId="77777777" w:rsidR="007E17B3" w:rsidRDefault="007E17B3" w:rsidP="009267C2">
      <w:pPr>
        <w:pStyle w:val="B1"/>
        <w:ind w:left="0" w:firstLine="0"/>
        <w:rPr>
          <w:sz w:val="24"/>
          <w:szCs w:val="24"/>
          <w:lang w:eastAsia="zh-CN"/>
        </w:rPr>
      </w:pPr>
    </w:p>
    <w:p w14:paraId="1FE1D2A7" w14:textId="650B6AEC" w:rsidR="007D35CD" w:rsidRPr="007D35CD" w:rsidRDefault="007D35CD" w:rsidP="009267C2">
      <w:pPr>
        <w:pStyle w:val="B1"/>
        <w:ind w:left="0" w:firstLine="0"/>
        <w:rPr>
          <w:b/>
          <w:bCs/>
          <w:sz w:val="24"/>
          <w:szCs w:val="24"/>
          <w:u w:val="single"/>
          <w:lang w:eastAsia="zh-CN"/>
        </w:rPr>
      </w:pPr>
      <w:r w:rsidRPr="007D35CD">
        <w:rPr>
          <w:b/>
          <w:bCs/>
          <w:sz w:val="24"/>
          <w:szCs w:val="24"/>
          <w:u w:val="single"/>
          <w:lang w:eastAsia="zh-CN"/>
        </w:rPr>
        <w:t>Time mask for switching</w:t>
      </w:r>
    </w:p>
    <w:p w14:paraId="012255E1" w14:textId="15CC1193" w:rsidR="007D35CD" w:rsidRDefault="00AE2356" w:rsidP="009267C2">
      <w:pPr>
        <w:pStyle w:val="B1"/>
        <w:ind w:left="0" w:firstLine="0"/>
        <w:rPr>
          <w:sz w:val="24"/>
          <w:szCs w:val="24"/>
          <w:lang w:eastAsia="zh-CN"/>
        </w:rPr>
      </w:pPr>
      <w:r>
        <w:rPr>
          <w:sz w:val="24"/>
          <w:szCs w:val="24"/>
          <w:lang w:eastAsia="zh-CN"/>
        </w:rPr>
        <w:t>Switching period should always be located at Scell (SDL). If a switching period is within the Pcell (FDD), the both UL and DL of the FDD cell will be blanked during the switching, where UL of the FDD cell is the only uplink in this band combination. Hence, it is preferrable to ensure the performance of the Pcell.</w:t>
      </w:r>
    </w:p>
    <w:p w14:paraId="12AFFA1B" w14:textId="041DFD96" w:rsidR="00AE2356" w:rsidRPr="00DA7ABC" w:rsidRDefault="00AE2356" w:rsidP="009267C2">
      <w:pPr>
        <w:pStyle w:val="B1"/>
        <w:ind w:left="0" w:firstLine="0"/>
        <w:rPr>
          <w:b/>
          <w:bCs/>
          <w:sz w:val="24"/>
          <w:szCs w:val="24"/>
          <w:lang w:eastAsia="zh-CN"/>
        </w:rPr>
      </w:pPr>
      <w:r w:rsidRPr="00DA7ABC">
        <w:rPr>
          <w:b/>
          <w:bCs/>
          <w:sz w:val="24"/>
          <w:szCs w:val="24"/>
          <w:lang w:eastAsia="zh-CN"/>
        </w:rPr>
        <w:t>Proposal 3: Switching period is always within Carrier 2 (SDL).</w:t>
      </w:r>
    </w:p>
    <w:p w14:paraId="483672E2" w14:textId="77777777" w:rsidR="00DA7ABC" w:rsidRPr="00067F13" w:rsidRDefault="00DA7ABC" w:rsidP="009267C2">
      <w:pPr>
        <w:pStyle w:val="B1"/>
        <w:ind w:left="0" w:firstLine="0"/>
        <w:rPr>
          <w:sz w:val="24"/>
          <w:szCs w:val="24"/>
          <w:lang w:eastAsia="zh-CN"/>
        </w:rPr>
      </w:pPr>
    </w:p>
    <w:p w14:paraId="7EF56B81" w14:textId="502B2521" w:rsidR="001B434D" w:rsidRPr="00AB3D40" w:rsidRDefault="001B434D" w:rsidP="001B434D">
      <w:pPr>
        <w:pStyle w:val="Heading1"/>
        <w:rPr>
          <w:lang w:eastAsia="zh-CN"/>
        </w:rPr>
      </w:pPr>
      <w:r>
        <w:t>3 Conclusion</w:t>
      </w:r>
    </w:p>
    <w:p w14:paraId="3F6700F5" w14:textId="11A50686" w:rsidR="009267C2" w:rsidRDefault="007D35CD" w:rsidP="009267C2">
      <w:pPr>
        <w:pStyle w:val="B1"/>
        <w:ind w:left="0" w:firstLine="0"/>
        <w:rPr>
          <w:sz w:val="24"/>
          <w:szCs w:val="24"/>
          <w:lang w:eastAsia="zh-CN"/>
        </w:rPr>
      </w:pPr>
      <w:r>
        <w:rPr>
          <w:sz w:val="24"/>
          <w:szCs w:val="24"/>
          <w:lang w:eastAsia="zh-CN"/>
        </w:rPr>
        <w:t>In this contribution, we have the following proposals for UE RF requirements and UE capability for low band CA via switching:</w:t>
      </w:r>
    </w:p>
    <w:p w14:paraId="0F0E40EB" w14:textId="77777777" w:rsidR="007E17B3" w:rsidRPr="000F0A4A" w:rsidRDefault="007E17B3" w:rsidP="007E17B3">
      <w:pPr>
        <w:pStyle w:val="B1"/>
        <w:ind w:left="0" w:firstLine="0"/>
        <w:rPr>
          <w:b/>
          <w:bCs/>
          <w:sz w:val="24"/>
          <w:szCs w:val="24"/>
          <w:lang w:eastAsia="zh-CN"/>
        </w:rPr>
      </w:pPr>
      <w:r w:rsidRPr="000F0A4A">
        <w:rPr>
          <w:b/>
          <w:bCs/>
          <w:sz w:val="24"/>
          <w:szCs w:val="24"/>
          <w:lang w:eastAsia="zh-CN"/>
        </w:rPr>
        <w:t>Proposal 1: RAN4 to consider an additional switching period value of 13μs.</w:t>
      </w:r>
    </w:p>
    <w:p w14:paraId="3017D4A0" w14:textId="77777777" w:rsidR="007E17B3" w:rsidRPr="007E17B3" w:rsidRDefault="007E17B3" w:rsidP="007E17B3">
      <w:pPr>
        <w:pStyle w:val="B1"/>
        <w:ind w:left="0" w:firstLine="0"/>
        <w:rPr>
          <w:b/>
          <w:bCs/>
          <w:sz w:val="24"/>
          <w:szCs w:val="24"/>
          <w:lang w:eastAsia="zh-CN"/>
        </w:rPr>
      </w:pPr>
      <w:r w:rsidRPr="007E17B3">
        <w:rPr>
          <w:b/>
          <w:bCs/>
          <w:sz w:val="24"/>
          <w:szCs w:val="24"/>
          <w:lang w:eastAsia="zh-CN"/>
        </w:rPr>
        <w:t>Proposal 2: Switching period capability for low band CA via switching is per-UE basis.</w:t>
      </w:r>
    </w:p>
    <w:p w14:paraId="73C4FFEB" w14:textId="77777777" w:rsidR="007E17B3" w:rsidRPr="00DA7ABC" w:rsidRDefault="007E17B3" w:rsidP="007E17B3">
      <w:pPr>
        <w:pStyle w:val="B1"/>
        <w:ind w:left="0" w:firstLine="0"/>
        <w:rPr>
          <w:b/>
          <w:bCs/>
          <w:sz w:val="24"/>
          <w:szCs w:val="24"/>
          <w:lang w:eastAsia="zh-CN"/>
        </w:rPr>
      </w:pPr>
      <w:r w:rsidRPr="00DA7ABC">
        <w:rPr>
          <w:b/>
          <w:bCs/>
          <w:sz w:val="24"/>
          <w:szCs w:val="24"/>
          <w:lang w:eastAsia="zh-CN"/>
        </w:rPr>
        <w:t>Proposal 3: Switching period is always within Carrier 2 (SDL).</w:t>
      </w:r>
    </w:p>
    <w:p w14:paraId="7C499E1B" w14:textId="77777777" w:rsidR="007D35CD" w:rsidRPr="00627FD1" w:rsidRDefault="007D35CD" w:rsidP="009267C2">
      <w:pPr>
        <w:pStyle w:val="B1"/>
        <w:ind w:left="0" w:firstLine="0"/>
        <w:rPr>
          <w:sz w:val="24"/>
          <w:szCs w:val="24"/>
          <w:lang w:eastAsia="zh-CN"/>
        </w:rPr>
      </w:pPr>
    </w:p>
    <w:p w14:paraId="74F47D6E" w14:textId="6CEEE47C" w:rsidR="009267C2" w:rsidRPr="00AB3D40" w:rsidRDefault="009267C2" w:rsidP="009267C2">
      <w:pPr>
        <w:pStyle w:val="Heading1"/>
        <w:rPr>
          <w:lang w:eastAsia="zh-CN"/>
        </w:rPr>
      </w:pPr>
      <w:r>
        <w:t>Reference</w:t>
      </w:r>
    </w:p>
    <w:p w14:paraId="627CE097" w14:textId="33DF862F" w:rsidR="009267C2" w:rsidRDefault="009267C2" w:rsidP="009267C2">
      <w:pPr>
        <w:pStyle w:val="B1"/>
        <w:ind w:left="0" w:firstLine="0"/>
        <w:rPr>
          <w:sz w:val="24"/>
          <w:szCs w:val="24"/>
          <w:lang w:eastAsia="zh-CN"/>
        </w:rPr>
      </w:pPr>
      <w:r w:rsidRPr="00627FD1">
        <w:rPr>
          <w:sz w:val="24"/>
          <w:szCs w:val="24"/>
          <w:lang w:eastAsia="zh-CN"/>
        </w:rPr>
        <w:t xml:space="preserve">[1] </w:t>
      </w:r>
      <w:r w:rsidR="00384D23">
        <w:rPr>
          <w:sz w:val="24"/>
          <w:szCs w:val="24"/>
          <w:lang w:eastAsia="zh-CN"/>
        </w:rPr>
        <w:t>R4-2503016, “</w:t>
      </w:r>
      <w:r w:rsidR="00384D23" w:rsidRPr="00384D23">
        <w:rPr>
          <w:sz w:val="24"/>
          <w:szCs w:val="24"/>
          <w:lang w:eastAsia="zh-CN"/>
        </w:rPr>
        <w:t>WF on low-low band switching</w:t>
      </w:r>
      <w:r w:rsidR="00384D23">
        <w:rPr>
          <w:sz w:val="24"/>
          <w:szCs w:val="24"/>
          <w:lang w:eastAsia="zh-CN"/>
        </w:rPr>
        <w:t xml:space="preserve">”, Apple </w:t>
      </w:r>
    </w:p>
    <w:p w14:paraId="47766348" w14:textId="56827929" w:rsidR="0093556E" w:rsidRPr="00627FD1" w:rsidRDefault="0093556E" w:rsidP="009267C2">
      <w:pPr>
        <w:pStyle w:val="B1"/>
        <w:ind w:left="0" w:firstLine="0"/>
        <w:rPr>
          <w:sz w:val="24"/>
          <w:szCs w:val="24"/>
          <w:lang w:eastAsia="zh-CN"/>
        </w:rPr>
      </w:pPr>
      <w:r>
        <w:rPr>
          <w:sz w:val="24"/>
          <w:szCs w:val="24"/>
          <w:lang w:eastAsia="zh-CN"/>
        </w:rPr>
        <w:t>[2] R4-2501572, “</w:t>
      </w:r>
      <w:r w:rsidRPr="0093556E">
        <w:rPr>
          <w:sz w:val="24"/>
          <w:szCs w:val="24"/>
          <w:lang w:eastAsia="zh-CN"/>
        </w:rPr>
        <w:t>Time masks for LB-LB CA switching</w:t>
      </w:r>
      <w:r>
        <w:rPr>
          <w:sz w:val="24"/>
          <w:szCs w:val="24"/>
          <w:lang w:eastAsia="zh-CN"/>
        </w:rPr>
        <w:t>”, Ericsson</w:t>
      </w:r>
    </w:p>
    <w:p w14:paraId="2370BD97" w14:textId="77777777" w:rsidR="009267C2" w:rsidRDefault="009267C2" w:rsidP="009267C2">
      <w:pPr>
        <w:pStyle w:val="B1"/>
        <w:ind w:left="0" w:firstLine="0"/>
        <w:rPr>
          <w:lang w:eastAsia="zh-CN"/>
        </w:rPr>
      </w:pPr>
    </w:p>
    <w:p w14:paraId="4B7C691F" w14:textId="77777777" w:rsidR="009267C2" w:rsidRDefault="009267C2" w:rsidP="009267C2">
      <w:pPr>
        <w:pStyle w:val="B1"/>
        <w:ind w:left="0" w:firstLine="0"/>
        <w:rPr>
          <w:lang w:eastAsia="zh-CN"/>
        </w:rPr>
      </w:pPr>
    </w:p>
    <w:p w14:paraId="2B5EF547" w14:textId="77777777" w:rsidR="009267C2" w:rsidRDefault="009267C2" w:rsidP="009267C2">
      <w:pPr>
        <w:pStyle w:val="B1"/>
        <w:ind w:left="0" w:firstLine="0"/>
        <w:rPr>
          <w:lang w:eastAsia="zh-CN"/>
        </w:rPr>
      </w:pPr>
    </w:p>
    <w:p w14:paraId="0FC94A8A" w14:textId="77777777" w:rsidR="009267C2" w:rsidRDefault="009267C2" w:rsidP="009267C2">
      <w:pPr>
        <w:pStyle w:val="B1"/>
        <w:ind w:left="0" w:firstLine="0"/>
        <w:rPr>
          <w:lang w:eastAsia="zh-CN"/>
        </w:rPr>
      </w:pPr>
    </w:p>
    <w:sectPr w:rsidR="009267C2"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45E9E1" w14:textId="77777777" w:rsidR="00E768BF" w:rsidRPr="00A10429" w:rsidRDefault="00E768BF" w:rsidP="0064547A">
      <w:pPr>
        <w:spacing w:after="0"/>
        <w:rPr>
          <w:kern w:val="2"/>
          <w:lang w:eastAsia="zh-CN"/>
        </w:rPr>
      </w:pPr>
      <w:r>
        <w:separator/>
      </w:r>
    </w:p>
  </w:endnote>
  <w:endnote w:type="continuationSeparator" w:id="0">
    <w:p w14:paraId="2DC85F23" w14:textId="77777777" w:rsidR="00E768BF" w:rsidRPr="00A10429" w:rsidRDefault="00E768BF"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BEAA16" w14:textId="77777777" w:rsidR="00E768BF" w:rsidRPr="00A10429" w:rsidRDefault="00E768BF" w:rsidP="0064547A">
      <w:pPr>
        <w:spacing w:after="0"/>
        <w:rPr>
          <w:kern w:val="2"/>
          <w:lang w:eastAsia="zh-CN"/>
        </w:rPr>
      </w:pPr>
      <w:r>
        <w:separator/>
      </w:r>
    </w:p>
  </w:footnote>
  <w:footnote w:type="continuationSeparator" w:id="0">
    <w:p w14:paraId="0D25D170" w14:textId="77777777" w:rsidR="00E768BF" w:rsidRPr="00A10429" w:rsidRDefault="00E768BF"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0"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87C209D"/>
    <w:multiLevelType w:val="hybridMultilevel"/>
    <w:tmpl w:val="179CF9EA"/>
    <w:lvl w:ilvl="0" w:tplc="10000001">
      <w:start w:val="1"/>
      <w:numFmt w:val="bullet"/>
      <w:lvlText w:val=""/>
      <w:lvlJc w:val="left"/>
      <w:pPr>
        <w:ind w:left="780" w:hanging="4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9E20609"/>
    <w:multiLevelType w:val="hybridMultilevel"/>
    <w:tmpl w:val="5140696C"/>
    <w:lvl w:ilvl="0" w:tplc="DE307C88">
      <w:numFmt w:val="bullet"/>
      <w:lvlText w:val="-"/>
      <w:lvlJc w:val="left"/>
      <w:pPr>
        <w:ind w:left="780" w:hanging="42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2" w15:restartNumberingAfterBreak="0">
    <w:nsid w:val="5C225EB0"/>
    <w:multiLevelType w:val="hybridMultilevel"/>
    <w:tmpl w:val="8C727AF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3"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4"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B4D482D"/>
    <w:multiLevelType w:val="hybridMultilevel"/>
    <w:tmpl w:val="713ED59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6"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86008568">
    <w:abstractNumId w:val="26"/>
  </w:num>
  <w:num w:numId="2" w16cid:durableId="767700499">
    <w:abstractNumId w:val="12"/>
  </w:num>
  <w:num w:numId="3" w16cid:durableId="980884213">
    <w:abstractNumId w:val="24"/>
  </w:num>
  <w:num w:numId="4" w16cid:durableId="1846701611">
    <w:abstractNumId w:val="11"/>
  </w:num>
  <w:num w:numId="5" w16cid:durableId="699012852">
    <w:abstractNumId w:val="4"/>
  </w:num>
  <w:num w:numId="6" w16cid:durableId="1450201014">
    <w:abstractNumId w:val="18"/>
  </w:num>
  <w:num w:numId="7" w16cid:durableId="1073939429">
    <w:abstractNumId w:val="3"/>
  </w:num>
  <w:num w:numId="8" w16cid:durableId="214005466">
    <w:abstractNumId w:val="17"/>
  </w:num>
  <w:num w:numId="9" w16cid:durableId="1446921232">
    <w:abstractNumId w:val="26"/>
  </w:num>
  <w:num w:numId="10" w16cid:durableId="1699429464">
    <w:abstractNumId w:val="26"/>
  </w:num>
  <w:num w:numId="11" w16cid:durableId="1062680395">
    <w:abstractNumId w:val="1"/>
  </w:num>
  <w:num w:numId="12" w16cid:durableId="2118793171">
    <w:abstractNumId w:val="7"/>
  </w:num>
  <w:num w:numId="13" w16cid:durableId="1243837963">
    <w:abstractNumId w:val="6"/>
  </w:num>
  <w:num w:numId="14" w16cid:durableId="1296058729">
    <w:abstractNumId w:val="23"/>
  </w:num>
  <w:num w:numId="15" w16cid:durableId="1988124532">
    <w:abstractNumId w:val="26"/>
  </w:num>
  <w:num w:numId="16" w16cid:durableId="563225832">
    <w:abstractNumId w:val="26"/>
  </w:num>
  <w:num w:numId="17" w16cid:durableId="599262311">
    <w:abstractNumId w:val="16"/>
  </w:num>
  <w:num w:numId="18" w16cid:durableId="161748096">
    <w:abstractNumId w:val="27"/>
  </w:num>
  <w:num w:numId="19" w16cid:durableId="573126915">
    <w:abstractNumId w:val="26"/>
  </w:num>
  <w:num w:numId="20" w16cid:durableId="2004045065">
    <w:abstractNumId w:val="5"/>
  </w:num>
  <w:num w:numId="21" w16cid:durableId="584807274">
    <w:abstractNumId w:val="26"/>
  </w:num>
  <w:num w:numId="22" w16cid:durableId="181170718">
    <w:abstractNumId w:val="26"/>
  </w:num>
  <w:num w:numId="23" w16cid:durableId="1139999911">
    <w:abstractNumId w:val="8"/>
  </w:num>
  <w:num w:numId="24" w16cid:durableId="986275603">
    <w:abstractNumId w:val="2"/>
  </w:num>
  <w:num w:numId="25" w16cid:durableId="757677477">
    <w:abstractNumId w:val="0"/>
  </w:num>
  <w:num w:numId="26" w16cid:durableId="416564558">
    <w:abstractNumId w:val="9"/>
  </w:num>
  <w:num w:numId="27" w16cid:durableId="119879853">
    <w:abstractNumId w:val="10"/>
  </w:num>
  <w:num w:numId="28" w16cid:durableId="375130886">
    <w:abstractNumId w:val="19"/>
  </w:num>
  <w:num w:numId="29" w16cid:durableId="381445059">
    <w:abstractNumId w:val="20"/>
  </w:num>
  <w:num w:numId="30" w16cid:durableId="2003196174">
    <w:abstractNumId w:val="15"/>
  </w:num>
  <w:num w:numId="31" w16cid:durableId="886913614">
    <w:abstractNumId w:val="14"/>
  </w:num>
  <w:num w:numId="32" w16cid:durableId="48724925">
    <w:abstractNumId w:val="22"/>
  </w:num>
  <w:num w:numId="33" w16cid:durableId="1028601228">
    <w:abstractNumId w:val="21"/>
  </w:num>
  <w:num w:numId="34" w16cid:durableId="1275207278">
    <w:abstractNumId w:val="13"/>
  </w:num>
  <w:num w:numId="35" w16cid:durableId="608245496">
    <w:abstractNumId w:val="2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587"/>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67F13"/>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7729"/>
    <w:rsid w:val="000A1AC6"/>
    <w:rsid w:val="000A2857"/>
    <w:rsid w:val="000A290C"/>
    <w:rsid w:val="000A2E82"/>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0A4A"/>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455D"/>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0FEE"/>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34D"/>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765"/>
    <w:rsid w:val="002044F6"/>
    <w:rsid w:val="0020502B"/>
    <w:rsid w:val="002055A9"/>
    <w:rsid w:val="00205B14"/>
    <w:rsid w:val="00205B4F"/>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DE1"/>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4F79"/>
    <w:rsid w:val="00346AC1"/>
    <w:rsid w:val="0034792E"/>
    <w:rsid w:val="00347EE4"/>
    <w:rsid w:val="003516D1"/>
    <w:rsid w:val="0035188A"/>
    <w:rsid w:val="00351E6A"/>
    <w:rsid w:val="0035237C"/>
    <w:rsid w:val="00355B5C"/>
    <w:rsid w:val="00357962"/>
    <w:rsid w:val="0036050E"/>
    <w:rsid w:val="00362355"/>
    <w:rsid w:val="0036506F"/>
    <w:rsid w:val="00365191"/>
    <w:rsid w:val="00365C17"/>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4D23"/>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3904"/>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6117"/>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5D7C"/>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0FE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47B57"/>
    <w:rsid w:val="00550275"/>
    <w:rsid w:val="005524EE"/>
    <w:rsid w:val="00552557"/>
    <w:rsid w:val="00552D87"/>
    <w:rsid w:val="005530C6"/>
    <w:rsid w:val="00554B06"/>
    <w:rsid w:val="00554C80"/>
    <w:rsid w:val="0055507D"/>
    <w:rsid w:val="0055556B"/>
    <w:rsid w:val="005559BA"/>
    <w:rsid w:val="00555A76"/>
    <w:rsid w:val="005564BC"/>
    <w:rsid w:val="0055671D"/>
    <w:rsid w:val="00556A39"/>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7FD"/>
    <w:rsid w:val="005B4FF5"/>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2D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48C0"/>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091"/>
    <w:rsid w:val="0062028B"/>
    <w:rsid w:val="006204A5"/>
    <w:rsid w:val="00620F17"/>
    <w:rsid w:val="006226E1"/>
    <w:rsid w:val="00624236"/>
    <w:rsid w:val="0062459B"/>
    <w:rsid w:val="006248A6"/>
    <w:rsid w:val="0062573D"/>
    <w:rsid w:val="00625751"/>
    <w:rsid w:val="00627421"/>
    <w:rsid w:val="00627425"/>
    <w:rsid w:val="006278EE"/>
    <w:rsid w:val="00627FD1"/>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683C"/>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0248"/>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384"/>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35CD"/>
    <w:rsid w:val="007D421D"/>
    <w:rsid w:val="007D44B6"/>
    <w:rsid w:val="007D46BF"/>
    <w:rsid w:val="007D474D"/>
    <w:rsid w:val="007D51E1"/>
    <w:rsid w:val="007D573E"/>
    <w:rsid w:val="007D660E"/>
    <w:rsid w:val="007D6C4C"/>
    <w:rsid w:val="007E0248"/>
    <w:rsid w:val="007E030D"/>
    <w:rsid w:val="007E045E"/>
    <w:rsid w:val="007E06F7"/>
    <w:rsid w:val="007E17B3"/>
    <w:rsid w:val="007E1DF7"/>
    <w:rsid w:val="007E22F1"/>
    <w:rsid w:val="007E28FF"/>
    <w:rsid w:val="007E3F9A"/>
    <w:rsid w:val="007E42A9"/>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65A4"/>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7E7"/>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16A7"/>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7E5"/>
    <w:rsid w:val="00852C35"/>
    <w:rsid w:val="008538F5"/>
    <w:rsid w:val="00853BBE"/>
    <w:rsid w:val="00853C16"/>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6C0A"/>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718"/>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67C2"/>
    <w:rsid w:val="009276B3"/>
    <w:rsid w:val="00927894"/>
    <w:rsid w:val="00930120"/>
    <w:rsid w:val="0093146E"/>
    <w:rsid w:val="00931B7C"/>
    <w:rsid w:val="00933182"/>
    <w:rsid w:val="00933AFF"/>
    <w:rsid w:val="00934900"/>
    <w:rsid w:val="00934C57"/>
    <w:rsid w:val="00934E5A"/>
    <w:rsid w:val="009354B0"/>
    <w:rsid w:val="0093556E"/>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8FE"/>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A58"/>
    <w:rsid w:val="00A17DF6"/>
    <w:rsid w:val="00A20516"/>
    <w:rsid w:val="00A20CAF"/>
    <w:rsid w:val="00A211DB"/>
    <w:rsid w:val="00A2158C"/>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4927"/>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356"/>
    <w:rsid w:val="00AE2442"/>
    <w:rsid w:val="00AE2897"/>
    <w:rsid w:val="00AE28C9"/>
    <w:rsid w:val="00AE3320"/>
    <w:rsid w:val="00AE36AD"/>
    <w:rsid w:val="00AE3869"/>
    <w:rsid w:val="00AE3892"/>
    <w:rsid w:val="00AE57BA"/>
    <w:rsid w:val="00AE5BB6"/>
    <w:rsid w:val="00AE5D52"/>
    <w:rsid w:val="00AE614E"/>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05B2E"/>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6883"/>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0B3"/>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17F0B"/>
    <w:rsid w:val="00C21995"/>
    <w:rsid w:val="00C21E7E"/>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6A"/>
    <w:rsid w:val="00CB24E5"/>
    <w:rsid w:val="00CB3688"/>
    <w:rsid w:val="00CB4720"/>
    <w:rsid w:val="00CB4CB0"/>
    <w:rsid w:val="00CB5DA3"/>
    <w:rsid w:val="00CB62C9"/>
    <w:rsid w:val="00CB7567"/>
    <w:rsid w:val="00CC0764"/>
    <w:rsid w:val="00CC0A3E"/>
    <w:rsid w:val="00CC11DF"/>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6A21"/>
    <w:rsid w:val="00CD7179"/>
    <w:rsid w:val="00CD717C"/>
    <w:rsid w:val="00CD7D9C"/>
    <w:rsid w:val="00CD7DEC"/>
    <w:rsid w:val="00CE0D82"/>
    <w:rsid w:val="00CE117A"/>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1C1"/>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973"/>
    <w:rsid w:val="00D80D82"/>
    <w:rsid w:val="00D81A4E"/>
    <w:rsid w:val="00D8240C"/>
    <w:rsid w:val="00D83950"/>
    <w:rsid w:val="00D83D5E"/>
    <w:rsid w:val="00D83E3D"/>
    <w:rsid w:val="00D84741"/>
    <w:rsid w:val="00D84BD0"/>
    <w:rsid w:val="00D84D8F"/>
    <w:rsid w:val="00D852EC"/>
    <w:rsid w:val="00D86883"/>
    <w:rsid w:val="00D86E50"/>
    <w:rsid w:val="00D878EB"/>
    <w:rsid w:val="00D9092D"/>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5DE1"/>
    <w:rsid w:val="00DA6359"/>
    <w:rsid w:val="00DA6E9B"/>
    <w:rsid w:val="00DA748F"/>
    <w:rsid w:val="00DA7ABC"/>
    <w:rsid w:val="00DB02F8"/>
    <w:rsid w:val="00DB05B5"/>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8BF"/>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59"/>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6CA5"/>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485"/>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76B29"/>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76B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76B29"/>
    <w:pPr>
      <w:ind w:left="1418" w:hanging="1418"/>
      <w:outlineLvl w:val="3"/>
    </w:pPr>
    <w:rPr>
      <w:sz w:val="24"/>
    </w:rPr>
  </w:style>
  <w:style w:type="paragraph" w:styleId="Heading5">
    <w:name w:val="heading 5"/>
    <w:basedOn w:val="Heading4"/>
    <w:next w:val="Normal"/>
    <w:link w:val="Heading5Char"/>
    <w:qFormat/>
    <w:rsid w:val="00E76B29"/>
    <w:pPr>
      <w:ind w:left="1701" w:hanging="1701"/>
      <w:outlineLvl w:val="4"/>
    </w:pPr>
    <w:rPr>
      <w:sz w:val="22"/>
    </w:rPr>
  </w:style>
  <w:style w:type="paragraph" w:styleId="Heading6">
    <w:name w:val="heading 6"/>
    <w:basedOn w:val="H6"/>
    <w:next w:val="Normal"/>
    <w:link w:val="Heading6Char"/>
    <w:qFormat/>
    <w:rsid w:val="00E76B29"/>
    <w:pPr>
      <w:outlineLvl w:val="5"/>
    </w:pPr>
  </w:style>
  <w:style w:type="paragraph" w:styleId="Heading7">
    <w:name w:val="heading 7"/>
    <w:basedOn w:val="H6"/>
    <w:next w:val="Normal"/>
    <w:link w:val="Heading7Char"/>
    <w:qFormat/>
    <w:rsid w:val="00E76B29"/>
    <w:pPr>
      <w:outlineLvl w:val="6"/>
    </w:pPr>
  </w:style>
  <w:style w:type="paragraph" w:styleId="Heading8">
    <w:name w:val="heading 8"/>
    <w:basedOn w:val="Heading1"/>
    <w:next w:val="Normal"/>
    <w:link w:val="Heading8Char"/>
    <w:qFormat/>
    <w:rsid w:val="00E76B29"/>
    <w:pPr>
      <w:ind w:left="0" w:firstLine="0"/>
      <w:outlineLvl w:val="7"/>
    </w:pPr>
  </w:style>
  <w:style w:type="paragraph" w:styleId="Heading9">
    <w:name w:val="heading 9"/>
    <w:basedOn w:val="Heading8"/>
    <w:next w:val="Normal"/>
    <w:link w:val="Heading9Char"/>
    <w:qFormat/>
    <w:rsid w:val="00E76B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Normal"/>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link w:val="HeaderChar"/>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E76B29"/>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basedOn w:val="Normal"/>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Index2">
    <w:name w:val="index 2"/>
    <w:basedOn w:val="Index1"/>
    <w:semiHidden/>
    <w:rsid w:val="00E76B29"/>
    <w:pPr>
      <w:ind w:left="284"/>
    </w:pPr>
  </w:style>
  <w:style w:type="paragraph" w:styleId="Index1">
    <w:name w:val="index 1"/>
    <w:basedOn w:val="Normal"/>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76B29"/>
    <w:pPr>
      <w:outlineLvl w:val="9"/>
    </w:pPr>
  </w:style>
  <w:style w:type="paragraph" w:styleId="ListNumber2">
    <w:name w:val="List Number 2"/>
    <w:basedOn w:val="ListNumber"/>
    <w:semiHidden/>
    <w:rsid w:val="00E76B29"/>
    <w:pPr>
      <w:ind w:left="851"/>
    </w:pPr>
  </w:style>
  <w:style w:type="character" w:styleId="FootnoteReference">
    <w:name w:val="footnote reference"/>
    <w:basedOn w:val="DefaultParagraphFont"/>
    <w:semiHidden/>
    <w:rsid w:val="00E76B29"/>
    <w:rPr>
      <w:b/>
      <w:position w:val="6"/>
      <w:sz w:val="16"/>
    </w:rPr>
  </w:style>
  <w:style w:type="paragraph" w:styleId="FootnoteText">
    <w:name w:val="footnote text"/>
    <w:basedOn w:val="Normal"/>
    <w:link w:val="FootnoteTextChar"/>
    <w:semiHidden/>
    <w:rsid w:val="00E76B29"/>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Normal"/>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Normal"/>
    <w:rsid w:val="00E76B29"/>
    <w:pPr>
      <w:keepLines/>
      <w:ind w:left="1702" w:hanging="1418"/>
    </w:pPr>
  </w:style>
  <w:style w:type="paragraph" w:customStyle="1" w:styleId="FP">
    <w:name w:val="FP"/>
    <w:basedOn w:val="Normal"/>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Normal"/>
    <w:semiHidden/>
    <w:rsid w:val="00E76B29"/>
    <w:pPr>
      <w:ind w:left="1985" w:hanging="1985"/>
    </w:pPr>
  </w:style>
  <w:style w:type="paragraph" w:styleId="TOC7">
    <w:name w:val="toc 7"/>
    <w:basedOn w:val="TOC6"/>
    <w:next w:val="Normal"/>
    <w:semiHidden/>
    <w:rsid w:val="00E76B29"/>
    <w:pPr>
      <w:ind w:left="2268" w:hanging="2268"/>
    </w:pPr>
  </w:style>
  <w:style w:type="paragraph" w:styleId="ListBullet2">
    <w:name w:val="List Bullet 2"/>
    <w:basedOn w:val="ListBullet"/>
    <w:semiHidden/>
    <w:rsid w:val="00E76B29"/>
    <w:pPr>
      <w:ind w:left="851"/>
    </w:pPr>
  </w:style>
  <w:style w:type="paragraph" w:styleId="ListBullet3">
    <w:name w:val="List Bullet 3"/>
    <w:basedOn w:val="ListBullet2"/>
    <w:semiHidden/>
    <w:rsid w:val="00E76B29"/>
    <w:pPr>
      <w:ind w:left="1135"/>
    </w:pPr>
  </w:style>
  <w:style w:type="paragraph" w:styleId="ListNumber">
    <w:name w:val="List Number"/>
    <w:basedOn w:val="List"/>
    <w:semiHidden/>
    <w:rsid w:val="00E76B29"/>
  </w:style>
  <w:style w:type="paragraph" w:customStyle="1" w:styleId="EQ">
    <w:name w:val="EQ"/>
    <w:basedOn w:val="Normal"/>
    <w:next w:val="Normal"/>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Heading5"/>
    <w:next w:val="Normal"/>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List2">
    <w:name w:val="List 2"/>
    <w:basedOn w:val="List"/>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E76B29"/>
    <w:pPr>
      <w:ind w:left="1135"/>
    </w:pPr>
  </w:style>
  <w:style w:type="paragraph" w:styleId="List4">
    <w:name w:val="List 4"/>
    <w:basedOn w:val="List3"/>
    <w:semiHidden/>
    <w:rsid w:val="00E76B29"/>
    <w:pPr>
      <w:ind w:left="1418"/>
    </w:pPr>
  </w:style>
  <w:style w:type="paragraph" w:styleId="List5">
    <w:name w:val="List 5"/>
    <w:basedOn w:val="List4"/>
    <w:semiHidden/>
    <w:rsid w:val="00E76B29"/>
    <w:pPr>
      <w:ind w:left="1702"/>
    </w:pPr>
  </w:style>
  <w:style w:type="paragraph" w:customStyle="1" w:styleId="EditorsNote">
    <w:name w:val="Editor's Note"/>
    <w:basedOn w:val="NO"/>
    <w:rsid w:val="00E76B29"/>
    <w:rPr>
      <w:color w:val="FF0000"/>
    </w:rPr>
  </w:style>
  <w:style w:type="paragraph" w:styleId="List">
    <w:name w:val="List"/>
    <w:basedOn w:val="Normal"/>
    <w:semiHidden/>
    <w:rsid w:val="00E76B29"/>
    <w:pPr>
      <w:ind w:left="568" w:hanging="284"/>
    </w:pPr>
  </w:style>
  <w:style w:type="paragraph" w:styleId="ListBullet">
    <w:name w:val="List Bullet"/>
    <w:basedOn w:val="List"/>
    <w:semiHidden/>
    <w:rsid w:val="00E76B29"/>
  </w:style>
  <w:style w:type="paragraph" w:styleId="ListBullet4">
    <w:name w:val="List Bullet 4"/>
    <w:basedOn w:val="ListBullet3"/>
    <w:semiHidden/>
    <w:rsid w:val="00E76B29"/>
    <w:pPr>
      <w:ind w:left="1418"/>
    </w:pPr>
  </w:style>
  <w:style w:type="paragraph" w:styleId="ListBullet5">
    <w:name w:val="List Bullet 5"/>
    <w:basedOn w:val="ListBullet4"/>
    <w:semiHidden/>
    <w:rsid w:val="00E76B29"/>
    <w:pPr>
      <w:ind w:left="1702"/>
    </w:pPr>
  </w:style>
  <w:style w:type="paragraph" w:customStyle="1" w:styleId="B1">
    <w:name w:val="B1"/>
    <w:basedOn w:val="List"/>
    <w:link w:val="B1Char"/>
    <w:qFormat/>
    <w:rsid w:val="00E76B29"/>
  </w:style>
  <w:style w:type="paragraph" w:customStyle="1" w:styleId="B2">
    <w:name w:val="B2"/>
    <w:basedOn w:val="List2"/>
    <w:qFormat/>
    <w:rsid w:val="00E76B29"/>
  </w:style>
  <w:style w:type="paragraph" w:customStyle="1" w:styleId="B3">
    <w:name w:val="B3"/>
    <w:basedOn w:val="List3"/>
    <w:qFormat/>
    <w:rsid w:val="00E76B29"/>
  </w:style>
  <w:style w:type="paragraph" w:customStyle="1" w:styleId="B4">
    <w:name w:val="B4"/>
    <w:basedOn w:val="List4"/>
    <w:rsid w:val="00E76B29"/>
  </w:style>
  <w:style w:type="paragraph" w:customStyle="1" w:styleId="B5">
    <w:name w:val="B5"/>
    <w:basedOn w:val="List5"/>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Revision">
    <w:name w:val="Revision"/>
    <w:hidden/>
    <w:uiPriority w:val="99"/>
    <w:semiHidden/>
    <w:rsid w:val="005B47FD"/>
    <w:rPr>
      <w:rFonts w:ascii="Times New Roman" w:eastAsia="Times New Roman" w:hAnsi="Times New Roman"/>
    </w:rPr>
  </w:style>
  <w:style w:type="paragraph" w:customStyle="1" w:styleId="RecCCITT">
    <w:name w:val="Rec_CCITT_#"/>
    <w:basedOn w:val="Normal"/>
    <w:qFormat/>
    <w:rsid w:val="005E02DC"/>
    <w:pPr>
      <w:keepNext/>
      <w:keepLines/>
      <w:overflowPunct/>
      <w:autoSpaceDE/>
      <w:autoSpaceDN/>
      <w:adjustRightInd/>
      <w:textAlignment w:val="auto"/>
    </w:pPr>
    <w:rPr>
      <w:rFonts w:eastAsia="SimSun"/>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624</TotalTime>
  <Pages>2</Pages>
  <Words>494</Words>
  <Characters>2817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dc:creator>
  <cp:keywords/>
  <cp:lastModifiedBy>AC</cp:lastModifiedBy>
  <cp:revision>13</cp:revision>
  <dcterms:created xsi:type="dcterms:W3CDTF">2025-03-23T20:28:00Z</dcterms:created>
  <dcterms:modified xsi:type="dcterms:W3CDTF">2025-03-27T14:22:00Z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